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640"/>
        <w:gridCol w:w="645"/>
        <w:gridCol w:w="508"/>
        <w:gridCol w:w="1247"/>
        <w:gridCol w:w="1155"/>
        <w:gridCol w:w="1260"/>
        <w:gridCol w:w="1612"/>
      </w:tblGrid>
      <w:tr w:rsidR="00B41F62" w:rsidRPr="00514F02" w14:paraId="1C1729D7" w14:textId="77777777" w:rsidTr="00C6724C">
        <w:trPr>
          <w:trHeight w:val="300"/>
        </w:trPr>
        <w:tc>
          <w:tcPr>
            <w:tcW w:w="7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8E8E8" w:themeFill="background2"/>
            <w:tcMar>
              <w:left w:w="105" w:type="dxa"/>
              <w:right w:w="105" w:type="dxa"/>
            </w:tcMar>
            <w:vAlign w:val="center"/>
          </w:tcPr>
          <w:p w14:paraId="04A894C4" w14:textId="77777777" w:rsidR="00B41F62" w:rsidRPr="00514F02" w:rsidRDefault="00B41F62" w:rsidP="00C6724C">
            <w:pPr>
              <w:pStyle w:val="HlavikaTabuky"/>
              <w:rPr>
                <w:rFonts w:asciiTheme="minorHAnsi" w:eastAsiaTheme="minorEastAsia" w:hAnsiTheme="minorHAnsi" w:cstheme="minorHAnsi"/>
                <w:b w:val="0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>skupina výdavkov</w:t>
            </w:r>
          </w:p>
        </w:tc>
        <w:tc>
          <w:tcPr>
            <w:tcW w:w="26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8E8E8" w:themeFill="background2"/>
            <w:tcMar>
              <w:left w:w="105" w:type="dxa"/>
              <w:right w:w="105" w:type="dxa"/>
            </w:tcMar>
            <w:vAlign w:val="center"/>
          </w:tcPr>
          <w:p w14:paraId="525FDF4B" w14:textId="77777777" w:rsidR="00B41F62" w:rsidRPr="00514F02" w:rsidRDefault="00B41F62" w:rsidP="00C6724C">
            <w:pPr>
              <w:pStyle w:val="HlavikaTabuky"/>
              <w:rPr>
                <w:rFonts w:asciiTheme="minorHAnsi" w:eastAsiaTheme="minorEastAsia" w:hAnsiTheme="minorHAnsi" w:cstheme="minorHAnsi"/>
                <w:b w:val="0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>názov výdavku</w:t>
            </w:r>
          </w:p>
        </w:tc>
        <w:tc>
          <w:tcPr>
            <w:tcW w:w="6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8E8E8" w:themeFill="background2"/>
            <w:tcMar>
              <w:left w:w="105" w:type="dxa"/>
              <w:right w:w="105" w:type="dxa"/>
            </w:tcMar>
            <w:vAlign w:val="center"/>
          </w:tcPr>
          <w:p w14:paraId="43063403" w14:textId="77777777" w:rsidR="00B41F62" w:rsidRPr="00514F02" w:rsidRDefault="00B41F62" w:rsidP="00C6724C">
            <w:pPr>
              <w:pStyle w:val="HlavikaTabuky"/>
              <w:rPr>
                <w:rFonts w:asciiTheme="minorHAnsi" w:eastAsiaTheme="minorEastAsia" w:hAnsiTheme="minorHAnsi" w:cstheme="minorHAnsi"/>
                <w:b w:val="0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>MJ</w:t>
            </w:r>
          </w:p>
        </w:tc>
        <w:tc>
          <w:tcPr>
            <w:tcW w:w="5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8E8E8" w:themeFill="background2"/>
            <w:tcMar>
              <w:left w:w="105" w:type="dxa"/>
              <w:right w:w="105" w:type="dxa"/>
            </w:tcMar>
            <w:vAlign w:val="center"/>
          </w:tcPr>
          <w:p w14:paraId="600622EA" w14:textId="77777777" w:rsidR="00B41F62" w:rsidRPr="00514F02" w:rsidRDefault="00B41F62" w:rsidP="00C6724C">
            <w:pPr>
              <w:pStyle w:val="HlavikaTabuky"/>
              <w:rPr>
                <w:rFonts w:asciiTheme="minorHAnsi" w:eastAsiaTheme="minorEastAsia" w:hAnsiTheme="minorHAnsi" w:cstheme="minorHAnsi"/>
                <w:b w:val="0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12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8E8E8" w:themeFill="background2"/>
            <w:tcMar>
              <w:left w:w="105" w:type="dxa"/>
              <w:right w:w="105" w:type="dxa"/>
            </w:tcMar>
            <w:vAlign w:val="center"/>
          </w:tcPr>
          <w:p w14:paraId="66766451" w14:textId="77777777" w:rsidR="00B41F62" w:rsidRPr="00514F02" w:rsidRDefault="00B41F62" w:rsidP="00C6724C">
            <w:pPr>
              <w:pStyle w:val="HlavikaTabuky"/>
              <w:rPr>
                <w:rFonts w:asciiTheme="minorHAnsi" w:eastAsiaTheme="minorEastAsia" w:hAnsiTheme="minorHAnsi" w:cstheme="minorHAnsi"/>
                <w:b w:val="0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>JC bez DPH</w:t>
            </w:r>
          </w:p>
        </w:tc>
        <w:tc>
          <w:tcPr>
            <w:tcW w:w="11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8E8E8" w:themeFill="background2"/>
            <w:tcMar>
              <w:left w:w="105" w:type="dxa"/>
              <w:right w:w="105" w:type="dxa"/>
            </w:tcMar>
            <w:vAlign w:val="center"/>
          </w:tcPr>
          <w:p w14:paraId="66F3542F" w14:textId="77777777" w:rsidR="00B41F62" w:rsidRPr="00514F02" w:rsidRDefault="00B41F62" w:rsidP="00C6724C">
            <w:pPr>
              <w:pStyle w:val="HlavikaTabuky"/>
              <w:rPr>
                <w:rFonts w:asciiTheme="minorHAnsi" w:eastAsiaTheme="minorEastAsia" w:hAnsiTheme="minorHAnsi" w:cstheme="minorHAnsi"/>
                <w:b w:val="0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>Suma s DPH</w:t>
            </w:r>
          </w:p>
        </w:tc>
        <w:tc>
          <w:tcPr>
            <w:tcW w:w="1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8E8E8" w:themeFill="background2"/>
            <w:tcMar>
              <w:left w:w="105" w:type="dxa"/>
              <w:right w:w="105" w:type="dxa"/>
            </w:tcMar>
            <w:vAlign w:val="center"/>
          </w:tcPr>
          <w:p w14:paraId="1FF18A55" w14:textId="77777777" w:rsidR="00B41F62" w:rsidRPr="00514F02" w:rsidRDefault="00B41F62" w:rsidP="00C6724C">
            <w:pPr>
              <w:pStyle w:val="HlavikaTabuky"/>
              <w:rPr>
                <w:rFonts w:asciiTheme="minorHAnsi" w:eastAsiaTheme="minorEastAsia" w:hAnsiTheme="minorHAnsi" w:cstheme="minorHAnsi"/>
                <w:b w:val="0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>NFP</w:t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8E8E8" w:themeFill="background2"/>
            <w:tcMar>
              <w:left w:w="105" w:type="dxa"/>
              <w:right w:w="105" w:type="dxa"/>
            </w:tcMar>
            <w:vAlign w:val="center"/>
          </w:tcPr>
          <w:p w14:paraId="1054B101" w14:textId="77777777" w:rsidR="00B41F62" w:rsidRPr="00514F02" w:rsidRDefault="00B41F62" w:rsidP="00C6724C">
            <w:pPr>
              <w:pStyle w:val="HlavikaTabuky"/>
              <w:rPr>
                <w:rFonts w:asciiTheme="minorHAnsi" w:eastAsiaTheme="minorEastAsia" w:hAnsiTheme="minorHAnsi" w:cstheme="minorHAnsi"/>
                <w:b w:val="0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>prieskum trhu</w:t>
            </w:r>
          </w:p>
        </w:tc>
      </w:tr>
      <w:tr w:rsidR="00B41F62" w:rsidRPr="00514F02" w14:paraId="6418524F" w14:textId="77777777" w:rsidTr="00C6724C">
        <w:trPr>
          <w:trHeight w:val="300"/>
        </w:trPr>
        <w:tc>
          <w:tcPr>
            <w:tcW w:w="9802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3FACD29B" w14:textId="77777777" w:rsidR="00B41F62" w:rsidRPr="00514F02" w:rsidRDefault="00B41F62" w:rsidP="00C6724C">
            <w:pPr>
              <w:spacing w:before="60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="Tahoma" w:hAnsiTheme="minorHAnsi" w:cstheme="minorHAnsi"/>
                <w:b/>
                <w:bCs/>
                <w:sz w:val="18"/>
                <w:szCs w:val="18"/>
              </w:rPr>
              <w:t>PRIAME VÝDAVKY</w:t>
            </w:r>
          </w:p>
        </w:tc>
      </w:tr>
      <w:tr w:rsidR="00B41F62" w:rsidRPr="00514F02" w14:paraId="026A69DC" w14:textId="77777777" w:rsidTr="00C6724C">
        <w:trPr>
          <w:trHeight w:val="15"/>
        </w:trPr>
        <w:tc>
          <w:tcPr>
            <w:tcW w:w="7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141A7DEA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518</w:t>
            </w:r>
          </w:p>
        </w:tc>
        <w:tc>
          <w:tcPr>
            <w:tcW w:w="26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575D2BFC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Bezpečnostná dokumentácia</w:t>
            </w:r>
          </w:p>
        </w:tc>
        <w:tc>
          <w:tcPr>
            <w:tcW w:w="6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2C6D424F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projekt</w:t>
            </w:r>
          </w:p>
        </w:tc>
        <w:tc>
          <w:tcPr>
            <w:tcW w:w="5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7695896B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61C5BAF7" w14:textId="77777777" w:rsidR="00B41F62" w:rsidRPr="00514F02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28 633,33 €</w:t>
            </w:r>
          </w:p>
        </w:tc>
        <w:tc>
          <w:tcPr>
            <w:tcW w:w="11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79A2818D" w14:textId="77777777" w:rsidR="00B41F62" w:rsidRPr="00514F02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34 360,00 €</w:t>
            </w:r>
          </w:p>
        </w:tc>
        <w:tc>
          <w:tcPr>
            <w:tcW w:w="1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6A50E6AC" w14:textId="77777777" w:rsidR="00B41F62" w:rsidRPr="00514F02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34 360,00 €</w:t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3CAE366B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01BC2">
              <w:rPr>
                <w:rFonts w:asciiTheme="minorHAnsi" w:eastAsiaTheme="minorEastAsia" w:hAnsiTheme="minorHAnsi" w:cstheme="minorHAnsi"/>
                <w:sz w:val="18"/>
                <w:szCs w:val="18"/>
              </w:rPr>
              <w:t>Určenie PHZ e-mailom, na základe informácií z webu alebo predchádzajúceho plnenia – identifikácia oslovených subjektov a zistených indikatívnych cien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zo dňa 24.06.2024</w:t>
            </w:r>
          </w:p>
        </w:tc>
      </w:tr>
      <w:tr w:rsidR="00B41F62" w:rsidRPr="00514F02" w14:paraId="7E277A00" w14:textId="77777777" w:rsidTr="00C6724C">
        <w:trPr>
          <w:trHeight w:val="300"/>
        </w:trPr>
        <w:tc>
          <w:tcPr>
            <w:tcW w:w="7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476BDF3C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022</w:t>
            </w:r>
          </w:p>
        </w:tc>
        <w:tc>
          <w:tcPr>
            <w:tcW w:w="26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105FD120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>Segmentácia siete</w:t>
            </w:r>
          </w:p>
        </w:tc>
        <w:tc>
          <w:tcPr>
            <w:tcW w:w="6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46E67850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projekt</w:t>
            </w:r>
          </w:p>
        </w:tc>
        <w:tc>
          <w:tcPr>
            <w:tcW w:w="5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12A27E0A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7ECA0B76" w14:textId="77777777" w:rsidR="00B41F62" w:rsidRPr="00514F02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 xml:space="preserve"> 44 441,00 € </w:t>
            </w:r>
          </w:p>
        </w:tc>
        <w:tc>
          <w:tcPr>
            <w:tcW w:w="11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2826B929" w14:textId="77777777" w:rsidR="00B41F62" w:rsidRPr="00514F02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 xml:space="preserve"> 53 329,20 € </w:t>
            </w:r>
          </w:p>
        </w:tc>
        <w:tc>
          <w:tcPr>
            <w:tcW w:w="1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709A2725" w14:textId="77777777" w:rsidR="00B41F62" w:rsidRPr="00514F02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 xml:space="preserve"> 53 329,20 € </w:t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64DC9AB2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01BC2">
              <w:rPr>
                <w:rFonts w:asciiTheme="minorHAnsi" w:eastAsiaTheme="minorEastAsia" w:hAnsiTheme="minorHAnsi" w:cstheme="minorHAnsi"/>
                <w:sz w:val="18"/>
                <w:szCs w:val="18"/>
              </w:rPr>
              <w:t>Určenie PHZ e-mailom, na základe informácií z webu alebo predchádzajúceho plnenia – identifikácia oslovených subjektov a zistených indikatívnych cien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zo dňa 24. – 25. 06.2024</w:t>
            </w:r>
          </w:p>
        </w:tc>
      </w:tr>
      <w:tr w:rsidR="00B41F62" w:rsidRPr="00514F02" w14:paraId="4FCD80E9" w14:textId="77777777" w:rsidTr="00C6724C">
        <w:trPr>
          <w:trHeight w:val="332"/>
        </w:trPr>
        <w:tc>
          <w:tcPr>
            <w:tcW w:w="7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4B803BF3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022</w:t>
            </w:r>
          </w:p>
        </w:tc>
        <w:tc>
          <w:tcPr>
            <w:tcW w:w="26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1188AD20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 xml:space="preserve">Implementácia nástroja na sledovanie a detekciu prevádzky </w:t>
            </w:r>
          </w:p>
        </w:tc>
        <w:tc>
          <w:tcPr>
            <w:tcW w:w="6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436661EB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projekt</w:t>
            </w:r>
          </w:p>
        </w:tc>
        <w:tc>
          <w:tcPr>
            <w:tcW w:w="5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49C73E2D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7BA91AF6" w14:textId="77777777" w:rsidR="00B41F62" w:rsidRPr="00514F02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 xml:space="preserve"> 50 128,67 € </w:t>
            </w:r>
          </w:p>
        </w:tc>
        <w:tc>
          <w:tcPr>
            <w:tcW w:w="11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217C4EAC" w14:textId="77777777" w:rsidR="00B41F62" w:rsidRPr="00514F02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 xml:space="preserve"> 60 154,40 € </w:t>
            </w:r>
          </w:p>
        </w:tc>
        <w:tc>
          <w:tcPr>
            <w:tcW w:w="1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38E2E757" w14:textId="77777777" w:rsidR="00B41F62" w:rsidRPr="00514F02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 xml:space="preserve"> 60 154,40 € </w:t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73D1B9B0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01BC2">
              <w:rPr>
                <w:rFonts w:asciiTheme="minorHAnsi" w:eastAsiaTheme="minorEastAsia" w:hAnsiTheme="minorHAnsi" w:cstheme="minorHAnsi"/>
                <w:sz w:val="18"/>
                <w:szCs w:val="18"/>
              </w:rPr>
              <w:t>Určenie PHZ e-mailom, na základe informácií z webu alebo predchádzajúceho plnenia – identifikácia oslovených subjektov a zistených indikatívnych cien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zo dňa 24. – 25. 06.2024</w:t>
            </w:r>
          </w:p>
        </w:tc>
      </w:tr>
      <w:tr w:rsidR="00B41F62" w:rsidRPr="00514F02" w14:paraId="0C8B079A" w14:textId="77777777" w:rsidTr="00C6724C">
        <w:trPr>
          <w:trHeight w:val="300"/>
        </w:trPr>
        <w:tc>
          <w:tcPr>
            <w:tcW w:w="7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19D73ABF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022</w:t>
            </w:r>
          </w:p>
        </w:tc>
        <w:tc>
          <w:tcPr>
            <w:tcW w:w="26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70F56B87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 xml:space="preserve">Implementácia centralizovaného systému ochrany pred škodlivým kódom </w:t>
            </w:r>
          </w:p>
        </w:tc>
        <w:tc>
          <w:tcPr>
            <w:tcW w:w="6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122B1873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kus</w:t>
            </w:r>
          </w:p>
        </w:tc>
        <w:tc>
          <w:tcPr>
            <w:tcW w:w="5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1A55B7BD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65769DD5" w14:textId="77777777" w:rsidR="00B41F62" w:rsidRPr="00514F02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 xml:space="preserve"> 50 011,00 € </w:t>
            </w:r>
          </w:p>
        </w:tc>
        <w:tc>
          <w:tcPr>
            <w:tcW w:w="11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1291DBDC" w14:textId="77777777" w:rsidR="00B41F62" w:rsidRPr="00514F02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 xml:space="preserve"> 60 013,20 € </w:t>
            </w:r>
          </w:p>
        </w:tc>
        <w:tc>
          <w:tcPr>
            <w:tcW w:w="1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00AC347C" w14:textId="77777777" w:rsidR="00B41F62" w:rsidRPr="00514F02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 xml:space="preserve"> 60 013,20 € </w:t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696616F1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01BC2">
              <w:rPr>
                <w:rFonts w:asciiTheme="minorHAnsi" w:eastAsiaTheme="minorEastAsia" w:hAnsiTheme="minorHAnsi" w:cstheme="minorHAnsi"/>
                <w:sz w:val="18"/>
                <w:szCs w:val="18"/>
              </w:rPr>
              <w:t>Určenie PHZ e-mailom, na základe informácií z webu alebo predchádzajúceho plnenia – identifikácia oslovených subjektov a zistených indikatívnych cien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zo dňa 24. – 25. 06.2024</w:t>
            </w:r>
          </w:p>
        </w:tc>
      </w:tr>
      <w:tr w:rsidR="00B41F62" w:rsidRPr="00514F02" w14:paraId="431FF519" w14:textId="77777777" w:rsidTr="00C6724C">
        <w:trPr>
          <w:trHeight w:val="300"/>
        </w:trPr>
        <w:tc>
          <w:tcPr>
            <w:tcW w:w="7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4CAF5B0A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>022</w:t>
            </w:r>
          </w:p>
        </w:tc>
        <w:tc>
          <w:tcPr>
            <w:tcW w:w="26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7E445C08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>Bezpečnostné zálohovacieho úložisko</w:t>
            </w:r>
          </w:p>
        </w:tc>
        <w:tc>
          <w:tcPr>
            <w:tcW w:w="6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1F8B9119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kus</w:t>
            </w:r>
          </w:p>
        </w:tc>
        <w:tc>
          <w:tcPr>
            <w:tcW w:w="5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484A3F07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6360CC4D" w14:textId="77777777" w:rsidR="00B41F62" w:rsidRPr="00514F02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 xml:space="preserve"> 67 776,00 € </w:t>
            </w:r>
          </w:p>
        </w:tc>
        <w:tc>
          <w:tcPr>
            <w:tcW w:w="11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138AA13C" w14:textId="77777777" w:rsidR="00B41F62" w:rsidRPr="00514F02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 xml:space="preserve"> 81 331,20 € </w:t>
            </w:r>
          </w:p>
        </w:tc>
        <w:tc>
          <w:tcPr>
            <w:tcW w:w="1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4858268E" w14:textId="77777777" w:rsidR="00B41F62" w:rsidRPr="00514F02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hAnsiTheme="minorHAnsi" w:cstheme="minorHAnsi"/>
                <w:sz w:val="18"/>
                <w:szCs w:val="18"/>
              </w:rPr>
              <w:t xml:space="preserve"> 81 331,20 € </w:t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78CBF26B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01BC2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Určenie PHZ e-mailom, na </w:t>
            </w:r>
            <w:r w:rsidRPr="00301BC2">
              <w:rPr>
                <w:rFonts w:asciiTheme="minorHAnsi" w:eastAsiaTheme="minorEastAsia" w:hAnsiTheme="minorHAnsi" w:cstheme="minorHAnsi"/>
                <w:sz w:val="18"/>
                <w:szCs w:val="18"/>
              </w:rPr>
              <w:lastRenderedPageBreak/>
              <w:t>základe informácií z webu alebo predchádzajúceho plnenia – identifikácia oslovených subjektov a zistených indikatívnych cien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zo dňa 24. – 25. 06.2024</w:t>
            </w:r>
          </w:p>
        </w:tc>
      </w:tr>
      <w:tr w:rsidR="00B41F62" w:rsidRPr="00514F02" w14:paraId="7BFF5894" w14:textId="77777777" w:rsidTr="00C6724C">
        <w:trPr>
          <w:trHeight w:val="300"/>
        </w:trPr>
        <w:tc>
          <w:tcPr>
            <w:tcW w:w="9802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3C0A8E3C" w14:textId="77777777" w:rsidR="00B41F62" w:rsidRPr="00514F02" w:rsidRDefault="00B41F62" w:rsidP="00C6724C">
            <w:pPr>
              <w:spacing w:before="6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lastRenderedPageBreak/>
              <w:t>NEPRIAME VÝDAVKY</w:t>
            </w:r>
          </w:p>
        </w:tc>
      </w:tr>
      <w:tr w:rsidR="00B41F62" w:rsidRPr="00514F02" w14:paraId="0CFCE09A" w14:textId="77777777" w:rsidTr="00C6724C">
        <w:trPr>
          <w:trHeight w:val="300"/>
        </w:trPr>
        <w:tc>
          <w:tcPr>
            <w:tcW w:w="7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0DF61C3B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907</w:t>
            </w:r>
          </w:p>
        </w:tc>
        <w:tc>
          <w:tcPr>
            <w:tcW w:w="264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35A5BDA7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Paušálne výdavky</w:t>
            </w:r>
          </w:p>
        </w:tc>
        <w:tc>
          <w:tcPr>
            <w:tcW w:w="6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32698EAE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projekt</w:t>
            </w:r>
          </w:p>
        </w:tc>
        <w:tc>
          <w:tcPr>
            <w:tcW w:w="50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169368FA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302F0867" w14:textId="77777777" w:rsidR="00B41F62" w:rsidRPr="00514F02" w:rsidRDefault="00B41F62" w:rsidP="00C6724C">
            <w:pPr>
              <w:spacing w:after="0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--</w:t>
            </w:r>
          </w:p>
        </w:tc>
        <w:tc>
          <w:tcPr>
            <w:tcW w:w="115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17621922" w14:textId="77777777" w:rsidR="00B41F62" w:rsidRPr="00514F02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20 243,16</w:t>
            </w:r>
          </w:p>
        </w:tc>
        <w:tc>
          <w:tcPr>
            <w:tcW w:w="1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296AEC4B" w14:textId="77777777" w:rsidR="00B41F62" w:rsidRPr="00514F02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20 243,16</w:t>
            </w:r>
          </w:p>
        </w:tc>
        <w:tc>
          <w:tcPr>
            <w:tcW w:w="16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05F7C2E8" w14:textId="77777777" w:rsidR="00B41F62" w:rsidRPr="00514F02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sz w:val="18"/>
                <w:szCs w:val="18"/>
              </w:rPr>
              <w:t>---</w:t>
            </w:r>
          </w:p>
        </w:tc>
      </w:tr>
      <w:tr w:rsidR="00B41F62" w:rsidRPr="00514F02" w14:paraId="1B9FC5F5" w14:textId="77777777" w:rsidTr="00C6724C">
        <w:trPr>
          <w:trHeight w:val="300"/>
        </w:trPr>
        <w:tc>
          <w:tcPr>
            <w:tcW w:w="5775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5C412EC3" w14:textId="77777777" w:rsidR="00B41F62" w:rsidRPr="00514F02" w:rsidRDefault="00B41F62" w:rsidP="00C6724C">
            <w:pPr>
              <w:spacing w:after="0"/>
              <w:jc w:val="right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14F02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CELKOVÁ VÝŠKA OPRÁVNENÝCH VÝDAVKOV</w:t>
            </w:r>
          </w:p>
        </w:tc>
        <w:tc>
          <w:tcPr>
            <w:tcW w:w="402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</w:tcPr>
          <w:p w14:paraId="4BABDF3B" w14:textId="77777777" w:rsidR="00B41F62" w:rsidRPr="00DB07B1" w:rsidRDefault="00B41F62" w:rsidP="00C6724C">
            <w:pPr>
              <w:spacing w:after="0"/>
              <w:jc w:val="center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</w:pPr>
            <w:r w:rsidRPr="00DB07B1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309 431,16 €</w:t>
            </w:r>
          </w:p>
        </w:tc>
      </w:tr>
    </w:tbl>
    <w:p w14:paraId="1E83E054" w14:textId="77777777" w:rsidR="008D1FDA" w:rsidRDefault="008D1FDA"/>
    <w:sectPr w:rsidR="008D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62"/>
    <w:rsid w:val="001D44EB"/>
    <w:rsid w:val="00537EDB"/>
    <w:rsid w:val="008D1FDA"/>
    <w:rsid w:val="00B4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E095"/>
  <w15:chartTrackingRefBased/>
  <w15:docId w15:val="{2E53CD4A-2686-4109-8AA0-7E7287B3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1F62"/>
    <w:pPr>
      <w:spacing w:after="60" w:line="240" w:lineRule="auto"/>
    </w:pPr>
    <w:rPr>
      <w:rFonts w:ascii="Arial" w:eastAsia="Times New Roman" w:hAnsi="Arial" w:cs="Times New Roman"/>
      <w:kern w:val="0"/>
      <w:sz w:val="16"/>
      <w:szCs w:val="2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1F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41F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41F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41F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F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41F6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41F6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41F6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41F6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1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41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41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41F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F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41F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41F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41F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41F6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41F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B41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41F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B41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41F6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B41F6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41F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B41F6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41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41F6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41F62"/>
    <w:rPr>
      <w:b/>
      <w:bCs/>
      <w:smallCaps/>
      <w:color w:val="0F4761" w:themeColor="accent1" w:themeShade="BF"/>
      <w:spacing w:val="5"/>
    </w:rPr>
  </w:style>
  <w:style w:type="paragraph" w:customStyle="1" w:styleId="HlavikaTabuky">
    <w:name w:val="HlavičkaTabuľky"/>
    <w:basedOn w:val="Normlny"/>
    <w:qFormat/>
    <w:rsid w:val="00B41F62"/>
    <w:rPr>
      <w:rFonts w:ascii="Tahoma" w:hAnsi="Tahom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Melišová</dc:creator>
  <cp:keywords/>
  <dc:description/>
  <cp:lastModifiedBy>Zuzana Melišová</cp:lastModifiedBy>
  <cp:revision>1</cp:revision>
  <dcterms:created xsi:type="dcterms:W3CDTF">2024-07-03T10:04:00Z</dcterms:created>
  <dcterms:modified xsi:type="dcterms:W3CDTF">2024-07-03T10:04:00Z</dcterms:modified>
</cp:coreProperties>
</file>