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5103" w:right="0" w:hanging="0"/>
        <w:jc w:val="left"/>
        <w:rPr>
          <w:lang w:val="hu-HU"/>
        </w:rPr>
      </w:pPr>
      <w:r>
        <w:rPr>
          <w:b/>
          <w:lang w:val="hu-HU"/>
        </w:rPr>
        <w:t xml:space="preserve">Melléklet </w:t>
      </w:r>
    </w:p>
    <w:p>
      <w:pPr>
        <w:pStyle w:val="Normal"/>
        <w:bidi w:val="0"/>
        <w:spacing w:before="0" w:after="0"/>
        <w:ind w:left="5103" w:right="0" w:hanging="0"/>
        <w:jc w:val="left"/>
        <w:rPr>
          <w:lang w:val="hu-HU"/>
        </w:rPr>
      </w:pPr>
      <w:r>
        <w:rPr>
          <w:b/>
          <w:lang w:val="hu-HU"/>
        </w:rPr>
        <w:t>az 535/2011 sz. kormányrendelethez</w:t>
      </w:r>
    </w:p>
    <w:p>
      <w:pPr>
        <w:pStyle w:val="Normal"/>
        <w:bidi w:val="0"/>
        <w:spacing w:before="0" w:after="0"/>
        <w:ind w:left="5103" w:right="0" w:hanging="0"/>
        <w:jc w:val="left"/>
        <w:rPr>
          <w:rFonts w:ascii="Times New Roman" w:hAnsi="Times New Roman"/>
          <w:b/>
          <w:b/>
          <w:lang w:val="hu-HU"/>
        </w:rPr>
      </w:pPr>
      <w:r>
        <w:rPr>
          <w:b/>
          <w:lang w:val="hu-H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lang w:val="hu-HU"/>
        </w:rPr>
      </w:pPr>
      <w:r>
        <w:rPr>
          <w:lang w:val="hu-HU"/>
        </w:rPr>
        <w:t>FORMANYOMTATVÁNY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  <w:lang w:val="hu-HU"/>
        </w:rPr>
      </w:pPr>
      <w:r>
        <w:rPr>
          <w:sz w:val="28"/>
          <w:szCs w:val="28"/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lang w:val="hu-HU"/>
        </w:rPr>
      </w:pPr>
      <w:r>
        <w:rPr>
          <w:b/>
          <w:sz w:val="28"/>
          <w:szCs w:val="28"/>
          <w:lang w:val="hu-HU"/>
        </w:rPr>
        <w:t xml:space="preserve">T Á J É K O Z T A T Ó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lang w:val="hu-HU"/>
        </w:rPr>
      </w:pPr>
      <w:r>
        <w:rPr>
          <w:sz w:val="28"/>
          <w:szCs w:val="28"/>
          <w:lang w:val="hu-HU"/>
        </w:rPr>
        <w:t>a nemzeti kisebbségi nyelv használatának lehetőségéről hivatalos érintkezésben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lang w:val="hu-HU"/>
        </w:rPr>
      </w:pPr>
      <w:r>
        <w:rPr>
          <w:lang w:val="hu-HU"/>
        </w:rPr>
        <w:t>a nemzeti kisebbségek nyelvének használatáról szóló, későbbi jogszabályokkal módosított 184/1999 sz. törvény 2. § (3) bekezdése értelmében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jc w:val="center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>Közigazgatási szerv neve: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5664" w:right="0" w:hanging="5664"/>
        <w:rPr>
          <w:lang w:val="hu-HU"/>
        </w:rPr>
      </w:pPr>
      <w:r>
        <w:rPr>
          <w:lang w:val="hu-HU"/>
        </w:rPr>
        <w:tab/>
        <w:t xml:space="preserve">....................................................... </w:t>
      </w:r>
      <w:r>
        <w:rPr>
          <w:i/>
          <w:lang w:val="hu-HU"/>
        </w:rPr>
        <w:t xml:space="preserve">(pl.: Losonci </w:t>
      </w:r>
      <w:r>
        <w:rPr>
          <w:rStyle w:val="Emphasis"/>
          <w:lang w:val="hu-HU" w:eastAsia="cs-CZ" w:bidi="ar-SA"/>
        </w:rPr>
        <w:t>Munkaügyi</w:t>
      </w:r>
      <w:r>
        <w:rPr>
          <w:rStyle w:val="St"/>
          <w:lang w:val="hu-HU" w:eastAsia="cs-CZ" w:bidi="ar-SA"/>
        </w:rPr>
        <w:t xml:space="preserve">, </w:t>
      </w:r>
      <w:r>
        <w:rPr>
          <w:rStyle w:val="Emphasis"/>
          <w:lang w:val="hu-HU" w:eastAsia="cs-CZ" w:bidi="ar-SA"/>
        </w:rPr>
        <w:t>Szociális</w:t>
      </w:r>
      <w:r>
        <w:rPr>
          <w:rStyle w:val="St"/>
          <w:lang w:val="hu-HU" w:eastAsia="cs-CZ" w:bidi="ar-SA"/>
        </w:rPr>
        <w:t xml:space="preserve"> és </w:t>
      </w:r>
      <w:r>
        <w:rPr>
          <w:rStyle w:val="Emphasis"/>
          <w:lang w:val="hu-HU" w:eastAsia="cs-CZ" w:bidi="ar-SA"/>
        </w:rPr>
        <w:t>Családügyi Hivatal</w:t>
      </w:r>
      <w:r>
        <w:rPr>
          <w:i/>
          <w:lang w:val="hu-HU"/>
        </w:rPr>
        <w:t>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>Működés helye: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5664" w:right="0" w:hanging="5664"/>
        <w:rPr>
          <w:lang w:val="hu-HU"/>
        </w:rPr>
      </w:pPr>
      <w:r>
        <w:rPr>
          <w:lang w:val="hu-HU"/>
        </w:rPr>
        <w:tab/>
        <w:t>........................................................</w:t>
      </w:r>
      <w:r>
        <w:rPr>
          <w:i/>
          <w:lang w:val="hu-HU"/>
        </w:rPr>
        <w:t>(pl.: Füleki kirendeltség)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b/>
          <w:lang w:val="hu-HU"/>
        </w:rPr>
        <w:t xml:space="preserve">KISEBBSÉG NYELVE, amelyet 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b/>
          <w:lang w:val="hu-HU"/>
        </w:rPr>
        <w:t xml:space="preserve">Szlovák Köztársaság nemzeti kisebbséghez tartozó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b/>
          <w:lang w:val="hu-HU"/>
        </w:rPr>
        <w:t xml:space="preserve">polgárai ezen szervvel történő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b/>
          <w:lang w:val="hu-HU"/>
        </w:rPr>
        <w:t xml:space="preserve">hivatalos érintkezés során használhatnak: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b/>
          <w:lang w:val="hu-HU"/>
        </w:rPr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lang w:val="hu-HU"/>
        </w:rPr>
        <w:tab/>
        <w:tab/>
        <w:tab/>
        <w:tab/>
        <w:tab/>
        <w:tab/>
        <w:tab/>
        <w:tab/>
      </w:r>
      <w:r>
        <w:rPr>
          <w:i/>
          <w:lang w:val="hu-HU"/>
        </w:rPr>
        <w:t>(pl.: magyar nyelv)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b/>
          <w:lang w:val="hu-HU"/>
        </w:rPr>
        <w:t>A SZLOVÁK KÖZTÁRSASÁG NEMZETI KISEBBSÉGHEZ TARTOZÓ POLGÁRÁINAK JOGAI</w:t>
      </w:r>
      <w:r>
        <w:rPr>
          <w:lang w:val="hu-HU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lang w:val="hu-HU"/>
        </w:rPr>
        <w:t xml:space="preserve">– </w:t>
      </w:r>
      <w:r>
        <w:rPr>
          <w:lang w:val="hu-HU"/>
        </w:rPr>
        <w:t>a kisebbségi nyelv használatához való jog a ................................................................................... (feltüntetni a közigazgatási szerv nevét) -val/-vel történő szóbeli és írásos érintkezés során, ideértve az írásbeli okiratok és bizonyítékok benyújtását.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lang w:val="hu-HU"/>
        </w:rPr>
        <w:t xml:space="preserve">– </w:t>
      </w:r>
      <w:r>
        <w:rPr>
          <w:lang w:val="hu-HU"/>
        </w:rPr>
        <w:t>a közigazgatási szervnek a kisebbségi nyelvű beadványra kisebbségi nyelven is adott válaszához való jog, ideértve a közigazgatási eljárásban hozott határozat kisebbségi nyelven is történő kiadásának kérelmezési jogát (2012. július 1-jétől), valamint a kétnyelvű születési anyakönyvi kivonat*, házassági anyakönyvi kivonat*, halotti anyakönyvi kivonat*, engedély, jogosítvány, igazolás, vélemény és nyilatkozat kiadásának kérelmezéséhez való jogot (a többi közokiratra ez a jog nem vonatkozik) kisebbségi nyelven is (2012. július 1-jétől). Kétség esetén a közigazgatási szerv államnyelvű válasza a döntő</w:t>
      </w:r>
      <w:r>
        <w:rPr>
          <w:rStyle w:val="Pppinputvalue1"/>
          <w:rFonts w:cs="Tahoma"/>
          <w:sz w:val="24"/>
          <w:lang w:val="hu-HU" w:eastAsia="cs-CZ" w:bidi="ar-SA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/>
      </w:pPr>
      <w:r>
        <w:rPr>
          <w:lang w:val="hu-HU"/>
        </w:rPr>
        <w:t xml:space="preserve">– </w:t>
      </w:r>
      <w:r>
        <w:rPr>
          <w:lang w:val="hu-HU"/>
        </w:rPr>
        <w:t>kétnyelvű, mégpedig államnyelvű és kisebbségi nyelvű hivatalos formanyomtatvány igényléséhez való jog, (2012. július 1-jétől).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>A kisebbség nyelvén történő ügyintézésre ugyanazok a határidők vonatkoznak, mint az állami nyelven történő ügyintézésre.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b/>
          <w:lang w:val="hu-HU"/>
        </w:rPr>
        <w:t>A KÖZIGAZGATÁSI SZERV KÖTELEZETTSÉGEI: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 xml:space="preserve">– </w:t>
      </w:r>
      <w:r>
        <w:rPr>
          <w:lang w:val="hu-HU"/>
        </w:rPr>
        <w:t>...................................................................................... (a közigazgatási szerv neve) a kisebbségi nyelven írott beadványra az államnyelv mellett kisebbségi nyelven is választ ad. Kétség esetén a közigazgatási szerv államnyelvű válasza a döntő</w:t>
      </w:r>
      <w:r>
        <w:rPr>
          <w:rStyle w:val="Pppinputvalue1"/>
          <w:rFonts w:cs="Tahoma"/>
          <w:sz w:val="24"/>
          <w:lang w:val="hu-HU" w:eastAsia="cs-CZ" w:bidi="ar-SA"/>
        </w:rPr>
        <w:t>. A közigazgatási szerv azon válasza, amely közokiratnak minősül, az államnyelven mellett csak abban az esetben kerül kiadásra kisebbségi nyelven is, ha engedélyről, jogosítványról, igazolásról, véleményről és nyilatkozatról van szó.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 xml:space="preserve">– </w:t>
      </w:r>
      <w:r>
        <w:rPr/>
        <w:t xml:space="preserve">kisebbségi nyelvű beadványra kezdődő eljárás esetén vagy kérelemre </w:t>
      </w:r>
      <w:r>
        <w:rPr>
          <w:lang w:val="hu-HU"/>
        </w:rPr>
        <w:t>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 xml:space="preserve"> </w:t>
      </w:r>
      <w:r>
        <w:rPr>
          <w:lang w:val="hu-HU"/>
        </w:rPr>
        <w:t xml:space="preserve">................................................................................ (a közigazgatási szerv neve) által a közigazgatási eljárásban hozott határozatot államnyelv </w:t>
      </w:r>
      <w:r>
        <w:rPr/>
        <w:t>mellett kisebbségi nyelvű hiteles fordításban is kiadja</w:t>
      </w:r>
      <w:r>
        <w:rPr>
          <w:lang w:val="hu-HU"/>
        </w:rPr>
        <w:t xml:space="preserve"> (2012. július 1-jétől),. Kétség esetén a határozat államnyelvű szövege a döntő.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/>
      </w:pPr>
      <w:r>
        <w:rPr>
          <w:lang w:val="hu-HU"/>
        </w:rPr>
        <w:t xml:space="preserve">– </w:t>
      </w:r>
      <w:r>
        <w:rPr>
          <w:lang w:val="hu-HU"/>
        </w:rPr>
        <w:t>A születési anyakönyvi kivonatok*, a házassági anyakönyvi kivonatok*, a halotti anyakönyvi kivonatok*, engedélyek, jogosítványok, igazolások, vélemények és nyilatkozatok kérelemre kétnyelvűen kerülnek kiadásra, mégpedig államnyelven és kisebbségi nyelven. Kétség esetén a közokirat államnyelvű szövege a döntő (2012. július 1-jétől).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/>
      </w:pPr>
      <w:r>
        <w:rPr>
          <w:lang w:val="hu-HU"/>
        </w:rPr>
        <w:t xml:space="preserve">– </w:t>
      </w:r>
      <w:r>
        <w:rPr>
          <w:lang w:val="hu-HU"/>
        </w:rPr>
        <w:t>A ........................................................................ (a közigazgatási szerv neve) hatáskörében kiadott hivatalos formanyomtatványokat kérelemre kétnyelvű formában is a polgárok rendelkezésére bocsátja, mégpedig államnyelven és kisebbségi nyelven (2012. július 1-jétől).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b/>
          <w:lang w:val="hu-HU"/>
        </w:rPr>
        <w:t>A .............................................................................. (a közigazgatási szerv neve) a ................ nyelv használatának lehetőségét (a megfelelő nemzeti kisebbségi nyelvet feltüntetni) következő módon biztosítja: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lang w:val="hu-HU"/>
        </w:rPr>
      </w:pPr>
      <w:r>
        <w:rPr>
          <w:b/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/>
      </w:pPr>
      <w:r>
        <w:rPr>
          <w:b/>
          <w:lang w:val="hu-HU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lang w:val="hu-HU"/>
        </w:rPr>
      </w:pPr>
      <w:r>
        <w:rPr>
          <w:b/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/>
      </w:pPr>
      <w:r>
        <w:rPr>
          <w:b/>
          <w:lang w:val="hu-HU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b/>
          <w:b/>
          <w:lang w:val="hu-HU"/>
        </w:rPr>
      </w:pPr>
      <w:r>
        <w:rPr>
          <w:b/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>**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>Amennyiben a Szlovák Köztársaság állampolgárának sérült a kisebbségi nyelv szóbeli és írásbeli érintkezésben történő használatához való joga (a törvény 7b §-a), erről a tényről értesítheti a Szlovák Köztársaság Kormányhivatalának Nemzeti Kisebbségek Főosztályát, amely közigazgatási eljárást indít az ügyben.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/>
      </w:pPr>
      <w:r>
        <w:rPr>
          <w:sz w:val="22"/>
        </w:rPr>
        <w:t>................., ............év ..........hó</w:t>
        <w:tab/>
        <w:t>.............-n</w:t>
      </w:r>
      <w:r>
        <w:rPr>
          <w:lang w:val="hu-HU"/>
        </w:rPr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firstLine="4860"/>
        <w:rPr>
          <w:lang w:val="hu-HU"/>
        </w:rPr>
      </w:pPr>
      <w:r>
        <w:rPr>
          <w:lang w:val="hu-HU"/>
        </w:rPr>
        <w:tab/>
        <w:tab/>
        <w:t>.......................................................</w:t>
        <w:tab/>
        <w:tab/>
        <w:tab/>
        <w:tab/>
        <w:tab/>
        <w:tab/>
        <w:tab/>
        <w:tab/>
        <w:t xml:space="preserve">           A közigazgatási szerv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firstLine="4860"/>
        <w:rPr/>
      </w:pPr>
      <w:r>
        <w:rPr>
          <w:lang w:val="hu-HU"/>
        </w:rPr>
        <w:t xml:space="preserve">            </w:t>
      </w:r>
      <w:r>
        <w:rPr>
          <w:lang w:val="hu-HU"/>
        </w:rPr>
        <w:t>vezetőjének aláírása és pecsét helye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bidi w:val="0"/>
        <w:spacing w:before="0" w:after="0"/>
        <w:ind w:left="0" w:right="0" w:hanging="0"/>
        <w:rPr>
          <w:rFonts w:ascii="Times New Roman" w:hAnsi="Times New Roman"/>
          <w:lang w:val="hu-HU"/>
        </w:rPr>
      </w:pPr>
      <w:r>
        <w:rPr>
          <w:lang w:val="hu-HU"/>
        </w:rPr>
      </w:r>
    </w:p>
    <w:p>
      <w:pPr>
        <w:pStyle w:val="Normal"/>
        <w:bidi w:val="0"/>
        <w:spacing w:before="0" w:after="0"/>
        <w:ind w:left="0" w:right="0" w:hanging="0"/>
        <w:rPr>
          <w:lang w:val="hu-HU"/>
        </w:rPr>
      </w:pPr>
      <w:r>
        <w:rPr>
          <w:i/>
          <w:lang w:val="hu-HU"/>
        </w:rPr>
        <w:t>Magyarázatok:</w:t>
      </w:r>
    </w:p>
    <w:p>
      <w:pPr>
        <w:pStyle w:val="Normal"/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 xml:space="preserve">* </w:t>
      </w:r>
    </w:p>
    <w:p>
      <w:pPr>
        <w:pStyle w:val="Normal"/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>A kétnyelvű születési anyakönyvi kivonat, házassági anyakönyvi kivonat és halotti anyakönyvi kivonat kiadásáról szóló tájékoztatást csak a születési anyakönyvi kivonat, házassági anyakönyvi kivonat és halotti anyakönyvi kivonat kiadására jogosult illetékes közigazgatási szerv tünteti fel.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lang w:val="hu-HU"/>
        </w:rPr>
        <w:t>**</w:t>
      </w:r>
    </w:p>
    <w:p>
      <w:pPr>
        <w:pStyle w:val="Normal"/>
        <w:bidi w:val="0"/>
        <w:spacing w:before="0" w:after="0"/>
        <w:ind w:left="0" w:right="0" w:hanging="0"/>
        <w:rPr>
          <w:lang w:val="hu-HU"/>
        </w:rPr>
      </w:pPr>
      <w:r>
        <w:rPr>
          <w:lang w:val="hu-HU"/>
        </w:rPr>
        <w:t>Amennyiben a közigazgatási szerv saját alkalmazottja által biztosítja a kisebbségi nyelv használatának lehetőségét, a tájékoztató ezen részében feltünteti ezen alkalmazottja nevét.</w:t>
      </w:r>
    </w:p>
    <w:p>
      <w:pPr>
        <w:pStyle w:val="Normal"/>
        <w:bidi w:val="0"/>
        <w:spacing w:before="0" w:after="120"/>
        <w:ind w:left="0" w:right="0" w:firstLine="425"/>
        <w:rPr/>
      </w:pPr>
      <w:r>
        <w:rPr/>
      </w:r>
    </w:p>
    <w:sectPr>
      <w:type w:val="nextPage"/>
      <w:pgSz w:w="11906" w:h="16838"/>
      <w:pgMar w:left="1417" w:right="1417" w:header="0" w:top="1276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120"/>
      <w:ind w:firstLine="425"/>
      <w:jc w:val="both"/>
      <w:textAlignment w:val="auto"/>
    </w:pPr>
    <w:rPr>
      <w:rFonts w:ascii="Times New Roman" w:hAnsi="Times New Roman" w:eastAsia="Tahoma" w:cs="Times New Roman"/>
      <w:color w:val="auto"/>
      <w:kern w:val="2"/>
      <w:sz w:val="24"/>
      <w:szCs w:val="24"/>
      <w:lang w:val="sk-SK" w:eastAsia="cs-CZ" w:bidi="ar-SA"/>
    </w:rPr>
  </w:style>
  <w:style w:type="character" w:styleId="DefaultParagraphFont">
    <w:name w:val="Default Paragraph Font"/>
    <w:qFormat/>
    <w:rPr/>
  </w:style>
  <w:style w:type="character" w:styleId="Pppinputvalue1">
    <w:name w:val="ppp-input-value1"/>
    <w:qFormat/>
    <w:rPr>
      <w:rFonts w:ascii="Tahoma" w:hAnsi="Tahoma"/>
      <w:color w:val="837A73"/>
      <w:sz w:val="16"/>
    </w:rPr>
  </w:style>
  <w:style w:type="character" w:styleId="St">
    <w:name w:val="st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sk-SK" w:eastAsia="sk-SK" w:bidi="ar-SA"/>
    </w:rPr>
  </w:style>
  <w:style w:type="paragraph" w:styleId="Annotationtext">
    <w:name w:val="annotation text"/>
    <w:basedOn w:val="Normal"/>
    <w:qFormat/>
    <w:pPr>
      <w:ind w:firstLine="425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ind w:firstLine="425"/>
    </w:pPr>
    <w:rPr>
      <w:b/>
      <w:bCs/>
      <w:sz w:val="20"/>
      <w:szCs w:val="20"/>
    </w:rPr>
  </w:style>
  <w:style w:type="paragraph" w:styleId="BalloonText">
    <w:name w:val="Balloon Text"/>
    <w:basedOn w:val="Normal"/>
    <w:qFormat/>
    <w:pPr>
      <w:ind w:firstLine="425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LibreOffice/7.1.6.2.0$Linux_X86_64 LibreOffice_project/10$Build-2</Application>
  <AppVersion>15.0000</AppVersion>
  <Pages>3</Pages>
  <Words>496</Words>
  <Characters>4475</Characters>
  <CharactersWithSpaces>5000</CharactersWithSpaces>
  <Paragraphs>36</Paragraphs>
  <Company>Úrad vlády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2012-08-01T13:18:00Z</dcterms:created>
  <dc:creator>thurzo</dc:creator>
  <dc:description/>
  <dc:language>sk-SK</dc:language>
  <cp:lastModifiedBy/>
  <dcterms:modified xsi:type="dcterms:W3CDTF">2012-08-01T13:18:00Z</dcterms:modified>
  <cp:revision>2</cp:revision>
  <dc:subject/>
  <dc:title>Príloha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Kalinay Gary</vt:lpwstr>
  </property>
</Properties>
</file>